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Генетика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02:50 МСК · База обновлена: 25.07.2026, 02:44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Генетика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Обратилась мать ребенка для уточнения диагноза у сына. Мальчик 1,5 года.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отставание в росте и моторном и развитии, тугоподвижность суставов.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 рождения затрудненное носовое дыхание. В первые месяцы жизни диагностирована дисплазия тазобедренных суставов, двустороння паховая грыжа. В 1,5 года – пупочная грыжа. Моторное развитие с задержкой: самостоятельно сидит с 1 года, ходит с поддержкой. Задержка роста.</w:t>
      </w:r>
    </w:p>
    <w:p>
      <w:pPr>
        <w:spacing w:after="58"/>
      </w:pPr>
      <w:r>
        <w:rPr>
          <w:b w:val="0"/>
          <w:i w:val="0"/>
        </w:rPr>
        <w:t>На втором году жизни появилась тугоподвижность суставов. В 1,5 года консультирован офтальмологом, установлено помутнение роговицы.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Мальчик от 2 беременности, родился в срок, при рождении масса 3950г, длина 55см. Оценка по шкале АПГАР 7/8б. Родился в удовлетворительном состоянии.</w:t>
      </w:r>
    </w:p>
    <w:p>
      <w:pPr>
        <w:spacing w:after="58"/>
      </w:pPr>
      <w:r>
        <w:rPr>
          <w:b w:val="0"/>
          <w:i w:val="0"/>
        </w:rPr>
        <w:t>Генеалогический анамнез: брак не кровнородственный, родословная не отягощена. Родители здоровы. Старший брат 10 лет клинически здоров.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Рост 73 см (менее 3 центеля), вес 11,5 кг (50 центель), окружность головы 52 см (более 97 центеля). Грубые черты лица (широкая переносица, гипоплазия средней трети лица, пухлые губы, приоткрытый рот, макроглоссия), тугоподвижность и контрактуры локтевых и коленных суставов, увеличение размеров живота, пупочная грыжа, увеличение печени ({plus}3 см из под края реберной дуги), двусторонняя паховая грыжа.</w:t>
      </w:r>
    </w:p>
    <w:p>
      <w:pPr>
        <w:pStyle w:val="Heading2"/>
      </w:pPr>
      <w:r>
        <w:t>1. Диагноз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Наиболее вероятным предполагаемым клиническим диагнозом в данной ситуации является заболевание из группы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нарушений митохондриального бета-окисления жирных кислот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гликогенозов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наследственных миопатий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мукополисахаридозов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мукополисахаридозов</w:t>
      </w:r>
    </w:p>
    <w:p>
      <w:pPr>
        <w:ind w:left="504"/>
      </w:pPr>
      <w:r>
        <w:rPr>
          <w:b w:val="0"/>
          <w:i/>
        </w:rPr>
        <w:t>Комментарии: Сочетание клинических проявлений в виде грубых черт лица, тугоподвижности суставов, задержки роста, макрокрании, помутнения роговицы, грыж позволяет врачу предположить мукополисахаридоз и является основанием для дальнейшего обследования.</w:t>
        <w:br/>
        <w:br/>
        <w:t>Методические рекомендации по ранней диагностике мукополисаардозов, 2019г. (стр. 10-11)</w:t>
        <w:br/>
        <w:br/>
        <w:t>Комментарии: Основные клинические проявления: грубые черты лица, умственная отсталость, помутнение роговицы, тугоподвижность суставов [1-3].</w:t>
        <w:br/>
        <w:br/>
      </w:r>
      <w:hyperlink r:id="rId20">
        <w:r>
          <w:rPr>
            <w:color w:val="173C49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уточнения диагноза, первым этапом, наиболее целесообразно провести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кариотипирование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исследование спектра аминокислот мочи методом хроматографии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исследование экскреции меди с мочой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активности лиозосомных ферментов (гидролаз)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экскреции гликозаминогликонов (дерматансульфата и гепарансульфата) с мочой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исследование желчных кислот мочи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4 — исследование активности лиозосомных ферментов (гидролаз); 5 — исследование экскреции гликозаминогликонов (дерматансульфата и гепарансульфата) с мочой</w:t>
      </w:r>
    </w:p>
    <w:p>
      <w:pPr>
        <w:ind w:left="504"/>
      </w:pPr>
      <w:r>
        <w:rPr>
          <w:b w:val="0"/>
          <w:i/>
        </w:rPr>
        <w:t>Комментарии: показатели активности ферментов лизосом являются основными лабораторными критериями МПС. У пациентов с МПС I типа определяется снижение активности альфа-L-идуронидазы.</w:t>
        <w:br/>
        <w:br/>
      </w:r>
      <w:hyperlink r:id="rId20">
        <w:r>
          <w:rPr>
            <w:color w:val="173C49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2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Комментарии: Пациентам с подозрением на мукополисахаридоз первым этапом обследования рекомендовано исследование экскреции дерматансульфата и гепарансульфата с мочой. Эти показатели являются основными лабораторным критериями Мукополисахаридоза 1 типа (МПС 1 типа): определяется повышенный уровень дерматансульфата и гепарансульфата в моче.</w:t>
        <w:br/>
        <w:br/>
      </w:r>
      <w:hyperlink r:id="rId20">
        <w:r>
          <w:rPr>
            <w:color w:val="173C49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Алгоритм молекулярно-генетического обследования (диагноза)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уточнения диагноза на втором этапе показано проведение молекулярно-генетическое исследование гена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 xml:space="preserve">_GALE_ (OMIM: * </w:t>
      </w:r>
      <w:hyperlink r:id="rId25">
        <w:r>
          <w:rPr>
            <w:color w:val="173C49"/>
            <w:u w:val="single"/>
          </w:rPr>
          <w:t>606953</w:t>
        </w:r>
      </w:hyperlink>
      <w:r>
        <w:rPr>
          <w:b w:val="0"/>
          <w:i w:val="0"/>
        </w:rPr>
        <w:t>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 xml:space="preserve">_PAH_ (OMIM: * </w:t>
      </w:r>
      <w:hyperlink r:id="rId26">
        <w:r>
          <w:rPr>
            <w:color w:val="173C49"/>
            <w:u w:val="single"/>
          </w:rPr>
          <w:t>612349</w:t>
        </w:r>
      </w:hyperlink>
      <w:r>
        <w:rPr>
          <w:b w:val="0"/>
          <w:i w:val="0"/>
        </w:rPr>
        <w:t>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 xml:space="preserve">_IDUA_ (OMIM:* </w:t>
      </w:r>
      <w:hyperlink r:id="rId28">
        <w:r>
          <w:rPr>
            <w:color w:val="173C49"/>
            <w:u w:val="single"/>
          </w:rPr>
          <w:t>252800</w:t>
        </w:r>
      </w:hyperlink>
      <w:r>
        <w:rPr>
          <w:b w:val="0"/>
          <w:i w:val="0"/>
        </w:rPr>
        <w:t>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 xml:space="preserve">_GALK1_ (OMIM: * </w:t>
      </w:r>
      <w:hyperlink r:id="rId29">
        <w:r>
          <w:rPr>
            <w:color w:val="173C49"/>
            <w:u w:val="single"/>
          </w:rPr>
          <w:t>604313</w:t>
        </w:r>
      </w:hyperlink>
      <w:r>
        <w:rPr>
          <w:b w:val="0"/>
          <w:i w:val="0"/>
        </w:rPr>
        <w:t>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 xml:space="preserve">3 — _IDUA_ (OMIM:* </w:t>
      </w:r>
      <w:hyperlink r:id="rId28">
        <w:r>
          <w:rPr>
            <w:color w:val="173C49"/>
            <w:u w:val="single"/>
          </w:rPr>
          <w:t>252800</w:t>
        </w:r>
      </w:hyperlink>
      <w:r>
        <w:rPr>
          <w:b/>
          <w:i w:val="0"/>
        </w:rPr>
        <w:t>)</w:t>
      </w:r>
    </w:p>
    <w:p>
      <w:pPr>
        <w:ind w:left="504"/>
      </w:pPr>
      <w:r>
        <w:rPr>
          <w:b w:val="0"/>
          <w:i/>
        </w:rPr>
        <w:t>Ребенку с клинико- лабораторными данными мукоплисахаридоза рекомендовано проведение молекулярно-генетического исследования: выявление мутаций в гене _IDUA_, кодирующем aльфа-L-идуронидазу.</w:t>
        <w:br/>
        <w:br/>
      </w:r>
      <w:hyperlink r:id="rId20">
        <w:r>
          <w:rPr>
            <w:color w:val="173C49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 основании полученных результатов клинико-лабораторных исследований пробанду установлен диагноз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Мукополисахаридоз 1 типа. Синдром Гурлер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Галактоземия 1 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Гликогеновая болезнь 1 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Мукополисахаридоз 2 типа. Синдром Хантера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Мукополисахаридоз 1 типа. Синдром Гурлер</w:t>
      </w:r>
    </w:p>
    <w:p>
      <w:pPr>
        <w:ind w:left="504"/>
      </w:pPr>
      <w:r>
        <w:rPr>
          <w:b w:val="0"/>
          <w:i/>
        </w:rPr>
        <w:t>Комментарии: Диагноз МПС I устанавливается на основании совокупности клинических данных, результатов лабораторного исследования и молекулярно-генетического анализа.</w:t>
        <w:br/>
        <w:br/>
      </w:r>
      <w:hyperlink r:id="rId20">
        <w:r>
          <w:rPr>
            <w:color w:val="173C49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5. Профилактика (медико-генетическое консультирование)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 xml:space="preserve">Тип наследования мукополисахаридоза 1 типа (OMIM:* </w:t>
      </w:r>
      <w:hyperlink r:id="rId33">
        <w:r>
          <w:rPr>
            <w:color w:val="173C49"/>
            <w:u w:val="single"/>
          </w:rPr>
          <w:t>607014</w:t>
        </w:r>
      </w:hyperlink>
      <w:r>
        <w:rPr>
          <w:b w:val="0"/>
          <w:i w:val="0"/>
        </w:rPr>
        <w:t>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X-сцепленный рецессивный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аутосомно-доминантный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аутосомно-рецессивный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X-сцепленный доминантный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аутосомно-рецессивный</w:t>
      </w:r>
    </w:p>
    <w:p>
      <w:pPr>
        <w:ind w:left="504"/>
      </w:pPr>
      <w:hyperlink r:id="rId20">
        <w:r>
          <w:rPr>
            <w:color w:val="173C49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Риск повторного рождения больного ребёнка с этим заболеванием в обследованной семье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составляет 50% независимо от пола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составляет 15% независимо от пола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составляет 25% независимо от пола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отсутствует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составляет 25% независимо от пола</w:t>
      </w:r>
    </w:p>
    <w:p>
      <w:pPr>
        <w:ind w:left="504"/>
      </w:pPr>
      <w:r>
        <w:rPr>
          <w:b w:val="0"/>
          <w:i/>
        </w:rPr>
        <w:t>В случае аутосомно-рецессивных заболеваний, рекуррентный риск составляет 25%</w:t>
        <w:br/>
        <w:br/>
        <w:t>При аутосомно-рецессивном заболевании родители являются гетерозиготными носителями мутантного гена</w:t>
        <w:br/>
        <w:br/>
        <w:t>Комментарий: Аутосомно-рецессивный тип наследования характеризуется передачей заболевания от здоровых родителей детям с вероятностью 25%</w:t>
        <w:br/>
        <w:br/>
        <w:t>Генетика. Учебник для вузов/Под. ред. академ. РАМН В.И. Иванова. - М.: ИКЦ «Академкнига», 2006, 2007 - 639 с.:ил., стр. 453, стр. 455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данном браке с высоким риском Мукополисахаридоза I типа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рекомендовано проведение пренатальной диагностики при наступлении следующей беременности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дальнейшее деторождение противопоказано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дальнейшее деторождение рекомендуется с использованием донорских половых клеток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пренатальная диагностика не показана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рекомендовано проведение пренатальной диагностики при наступлении следующей беременности</w:t>
      </w:r>
    </w:p>
    <w:p>
      <w:pPr>
        <w:ind w:left="504"/>
      </w:pPr>
      <w:r>
        <w:rPr>
          <w:b w:val="0"/>
          <w:i/>
        </w:rPr>
        <w:t>Комментарии: Пренатальная диагностика рекомендована для любой последующей беременности в семьях, отягощенных хотя бы одним случаем МПСI.</w:t>
        <w:br/>
        <w:br/>
      </w:r>
      <w:hyperlink r:id="rId20">
        <w:r>
          <w:rPr>
            <w:color w:val="173C49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6. Лечение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Трансплантации костного мозга (ТКМ) пациентам с мукополисахаридозом 1 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рекомендована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рекомендована до достижения 2-х летнего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рекомендована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рекомендована после 10 летнего возраста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рекомендована до достижения 2-х летнего возраста</w:t>
      </w:r>
    </w:p>
    <w:p>
      <w:pPr>
        <w:ind w:left="504"/>
      </w:pPr>
      <w:r>
        <w:rPr>
          <w:b w:val="0"/>
          <w:i/>
        </w:rPr>
        <w:t>Комментарии: Рекомендовано проведение трансплантации костного мозга пациентам с МПС 1 с фенотипом Гурлер синдрома до достижения возраста двух лет. ТКМ ведет к уменьшению размеров печени и селезенки, улучшению функций дыхательной и сердечно–сосудистой систем.</w:t>
        <w:br/>
        <w:br/>
      </w:r>
      <w:hyperlink r:id="rId20">
        <w:r>
          <w:rPr>
            <w:color w:val="173C49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Всем детям с мукополисахаридозом 1 типа показано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диетотерапии с исключением казеинсодержащих продуктов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трансплантации печени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генной 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ферментзаместительной терапии ларонидазой из расчета 100 ЕД/кг в виде в/в инфузии еженедельно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ферментзаместительной терапии ларонидазой из расчета 100 ЕД/кг в виде в/в инфузии еженедельно</w:t>
      </w:r>
    </w:p>
    <w:p>
      <w:pPr>
        <w:ind w:left="504"/>
      </w:pPr>
      <w:r>
        <w:rPr>
          <w:b w:val="0"/>
          <w:i/>
        </w:rPr>
        <w:t>Комментарии: Рекомендовано проведение ферментной заместительной терапии (ФЗТ). ФЗТ проводится ларонидазой (код ATX A16AB05).</w:t>
        <w:br/>
        <w:br/>
      </w:r>
      <w:hyperlink r:id="rId20">
        <w:r>
          <w:rPr>
            <w:color w:val="173C49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3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Комментарии: в 1 мл раствора содержится 100 ЕД (приблизительно 0,58 мг) ларонидазы. Это рекомбинантная форма человеческой альфа-L-идуронидазы, производимая с использованием технологии рекомбинантной ДНК в клеточной культуре китайских хомячков. ФЗТ предназначена для восстановления уровня энзиматической активности, достаточного для гидролиза накопленных гликозаминогликанов и для предотвращения их дальнейшего накопления. После введения ларонидаза быстро выводится из системного кровотока и поглощается клетками, поступая в их лизосомы через маннозо-6-фосфатные рецепторы. Рекомендованный режим дозирования: еженедельное введение в дозе 100 ЕД/кг в виде в/в инфузии.</w:t>
        <w:br/>
        <w:br/>
      </w:r>
      <w:hyperlink r:id="rId38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Фермент заместительная терапия детям с трансплантацией костного мозга (ТКМ)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проводится только до проведения операции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проводится до ТКМ и в течении 3-х месяцев после ТКМ (до восстановления нормального уровня собственного фермента)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проводится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противопоказана из-за возможных аллергических реакций и роста антител к ферменту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проводится до ТКМ и в течении 3-х месяцев после ТКМ (до восстановления нормального уровня собственного фермента)</w:t>
      </w:r>
    </w:p>
    <w:p>
      <w:pPr>
        <w:ind w:left="504"/>
      </w:pPr>
      <w:r>
        <w:rPr>
          <w:b w:val="0"/>
          <w:i/>
        </w:rPr>
        <w:t>Комментарии: фермент заместительную терапию ларонидазой можно использовать перед трансплантацией костного мозга, непосредственно после нее, а также после трансплантации.</w:t>
        <w:br/>
        <w:br/>
      </w:r>
      <w:hyperlink r:id="rId20">
        <w:r>
          <w:rPr>
            <w:color w:val="173C49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7.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Пациентам с мукополисахаридозом 1 типа, реабилитационные мероприятия и физиотерапия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показаны с 5-летнего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показаны пациентам, не получающим фермент заместительную 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показаны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показаны и разрабатываются индивидуально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показаны и разрабатываются индивидуально</w:t>
      </w:r>
    </w:p>
    <w:p>
      <w:pPr>
        <w:ind w:left="504"/>
      </w:pPr>
      <w:r>
        <w:rPr>
          <w:b w:val="0"/>
          <w:i/>
        </w:rPr>
        <w:t>Комментарии: Пациенту с мукополисахаридозом I типа физиотерапевтом и врачом-ЛФК разрабатывается индивидуальный курс реабилитации, включающий массаж, лечебную физкультуру, физиотерапевтические процедуры (магнитотерапию, термотерапию, ударно-волновую терапию, метод биологической обратной связи и другие процедуры).</w:t>
        <w:br/>
        <w:br/>
      </w:r>
      <w:hyperlink r:id="rId20">
        <w:r>
          <w:rPr>
            <w:color w:val="173C49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4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Комментарии: Реабилитационные курсы (массаж, ЛФК, физиопроцедуры, психолого–педагогическая помощь) желательно проводить в условиях дневного стационара проводится с частотой 3-4 раза в год, длительность – определяется тяжестью состояния и ответом на проводимые мероприятия.</w:t>
        <w:br/>
        <w:br/>
      </w:r>
      <w:hyperlink r:id="rId40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Пациентам с мукополисахаридозом 1 типа, в том числе получающим фермент заместительную терапию, симптоматическая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показана до назначения фермент заместительной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показана только в стационарных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показана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показана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показана</w:t>
      </w:r>
    </w:p>
    <w:p>
      <w:pPr>
        <w:ind w:left="504"/>
      </w:pPr>
      <w:r>
        <w:rPr>
          <w:b w:val="0"/>
          <w:i/>
        </w:rPr>
        <w:t>Комментарии: Заболевание имеет мультисистемную природу и необратимые, прогрессирующие клинические проявления, что обусловливает необходимость наблюдения не только узкими специалистами (оториноларингологами, хирургами-ортопедами, офтальмологами, кардиологами, пульмонологами, невропатологами, стоматологами), но и физиотерапевтами, логопедами, психологами и работниками паллиативных служб.</w:t>
        <w:br/>
        <w:br/>
      </w:r>
      <w:hyperlink r:id="rId20">
        <w:r>
          <w:rPr>
            <w:color w:val="173C49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41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Генетика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Врача генетика пригласили в отделение патологии новорождённых для консультации к ребёнку, девочке 10 дней жизни, для исключения наследственного характера нарушений.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Шумное дыхание, попёрхивание при кормлении.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Беременность протекала в основном без особенностей, на сроке около 2-х недель у матери был фарингит, применяла гексализ.</w:t>
      </w:r>
    </w:p>
    <w:p>
      <w:pPr>
        <w:spacing w:after="58"/>
      </w:pPr>
      <w:r>
        <w:rPr>
          <w:b w:val="0"/>
          <w:i w:val="0"/>
        </w:rPr>
        <w:t>После рождения наблюдалось стридорозное дыхание, выслушивался систолический шум, выявлены микроаномалии и пороки развития, что послужило основанием для назначения консультации генетика.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Ребёнок от I беременности, I родов на сроке 38 недель Вес при рождении – 3000 г., рост – 51 см, оценка по шкале Апгар 7/8 баллов. +</w:t>
        <w:br/>
        <w:t>Семейный анамнез не отягощён наследственными заболеваниями. Брак не родственный. Родители молоды и считают себя здоровыми, ранее у генетика не консультировались и не обследовались.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При осмотре обнаружены микроаномалии развития: низко посаженные деформированные ушные раковины, длинная спинка носа, узкие глазные щели, длинные пальцы рук, расщелина мягкого нёба. Систолический шум. Шумное дыхание. Попёрхивается при сосании.</w:t>
      </w:r>
    </w:p>
    <w:p>
      <w:pPr>
        <w:pStyle w:val="Heading2"/>
      </w:pPr>
      <w:r>
        <w:t>1. Диагноз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 данной клинической ситуации следует предполагать, что аномалии развития, выявленные у ребёнка, являются следствием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тератогенного воздействия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мутации _de novo_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сочетанного действия неизвестных причин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хромосомной патологии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хромосомной патологии</w:t>
      </w:r>
    </w:p>
    <w:p>
      <w:pPr>
        <w:ind w:left="504"/>
      </w:pPr>
      <w:r>
        <w:rPr>
          <w:b w:val="0"/>
          <w:i/>
        </w:rPr>
        <w:t>Комментарии: Обнаруженные у ребёнка дефект межжелудочковой перегородки и дефект межпредсердной перегородки являются одними из самых частых врождённых пороков сердца, на долю которых приходится до 35-40% случаев ВПС (28,1% и до 10,3% соответственно (по Берман Е., Воган В.К.,1993); по другим данным ДМПП составляет около 30% всех врождённых пороков сердца). +</w:t>
        <w:br/>
        <w:t>Врожденные пороки сердца входят в комплекс врожденных пороков развития при большинстве форм хромосомных синдромов. Частота и спектр их вариабельны даже в пределах одной формы патологии. +</w:t>
        <w:br/>
        <w:t>Суммарная частота выявления хромосомных аберраций у живорожденных младенцев с пороками сердца варьирует от 5 до 13 процентов. +</w:t>
        <w:br/>
        <w:t>Таким образом, наличие лицевых микроаномалий в сочетании с врождённым пороком сердца и расщелиной нёба позволяет предположить хромосомную патологию.</w:t>
        <w:br/>
        <w:br/>
        <w:t>Внутренние болезни: в 2-х томах. Учебник Под ред. Н.А. Мухина, В.С. Моисеева, А.И. Мартынова - 2010. - 1264 c.</w:t>
        <w:br/>
        <w:br/>
      </w:r>
      <w:hyperlink r:id="rId4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br/>
        <w:br/>
        <w:t>Ю.М. Белозеров Детская кардиология. - М., - «МЕДпресс-информ», 2004. – 598 с., стр. 57-58</w:t>
      </w:r>
    </w:p>
    <w:p>
      <w:pPr>
        <w:pStyle w:val="Heading2"/>
      </w:pPr>
      <w:r>
        <w:t>2.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сужения объёма диагностического поиска в данной клинической ситуации необходимо запросить результаты таких методов клинической лабораторной и инструментальной диагностики, как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УЗИ брюшной полости и почек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ЭХО-КГ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рентгенография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клинический анализ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неонатальный биохимический скрининг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УЗИ брюшной полости и почек; 2 — ЭХО-КГ; 6 — биохимический анализ крови</w:t>
      </w:r>
    </w:p>
    <w:p>
      <w:pPr>
        <w:ind w:left="504"/>
      </w:pPr>
      <w:r>
        <w:rPr>
          <w:b w:val="0"/>
          <w:i/>
        </w:rPr>
        <w:t>Комментарии: У ребёнка с микроаномалиями развития и врождённым пороком сердца подозревается в первую очередь хромосомная патология, которая, как правило, сопровождается не только множественными микроаномалиями, но и множественными пороками развития внутренних органов.</w:t>
        <w:br/>
        <w:br/>
        <w:t>Наследственные болезни: национальное руководство / под ред. акад. РАМН Н.П. Бочкова, акад. РАМН Е.К. Гинтера, акад. РАМН В.П. Пузырева. - М. : ГЭОТАР-Медиа, 2012. - 936 с. (Глава 22, стр. 565, 568). ISBN 978-5-9704-2231-1</w:t>
        <w:br/>
        <w:br/>
      </w:r>
      <w:hyperlink r:id="rId4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Комментарии: Согласно анамнезу у ребёнка был обнаружен врождённый порок сердца. Для уточнения типа врождённого порока сердца необходимы данные ЭХО-КГ, проведённого до операции. При некоторых хромосомных нарушениях можно выделить определённый спектр наиболее характерных врождённых пороков сердца.</w:t>
        <w:br/>
        <w:br/>
        <w:t>Ю.М. Белозеров Детская кардиология. - М., - «МЕДпресс-информ», 2004. – 598 с., стр. 57-58</w:t>
      </w:r>
    </w:p>
    <w:p>
      <w:pPr>
        <w:ind w:left="504"/>
      </w:pPr>
      <w:r>
        <w:rPr>
          <w:b w:val="0"/>
          <w:i/>
        </w:rPr>
        <w:t>Комментарии: Наиболее частыми синдромами сопровождающимися врождёнными пороками сердца являются синдромы Дауна (1:500-700), синдром делеции 22q11.2 (1:4000) и синдром Вильямса (1:7500 – 10000). Последние два синдрома характеризуются специфическим нарушением обмена кальция: при синдроме Вильямса – гиперкальциемия, при синдроме делеции 22q11.2 (в т.ч. синдроме Ди Джорджи) – гипокальциемия, что можно использовать в качестве дифференциальной диагностики. Также нарушение обмена кальция в сочетании с микроаномалиями и врождённым пороком сердца является показанием для исключения соответствующего синдрома молекулярно-цитогенетическими методами.</w:t>
        <w:br/>
        <w:br/>
        <w:t>Федеральные клинические рекомендации по диагностике и лечению синдрома Вильямса, 2017, Эпидемиология, стр. 3</w:t>
        <w:br/>
        <w:br/>
      </w:r>
      <w:hyperlink r:id="rId46">
        <w:r>
          <w:rPr>
            <w:color w:val="173C49"/>
            <w:u w:val="single"/>
          </w:rPr>
          <w:t>ФЕДЕРАЛЬНЫЕ КЛИНИЧЕСКИЕ РЕКОМЕНДАЦИИ ПО ДИАГНОСТИКЕ И ЛЕЧЕНИЮ СИНДРОМА ВИЛЬЯМСА. 2017 г.</w:t>
        </w:r>
      </w:hyperlink>
      <w:r>
        <w:rPr>
          <w:b w:val="0"/>
          <w:i/>
        </w:rPr>
        <w:br/>
        <w:br/>
        <w:t>Федеральные клинические рекомендации по диагностике и лечению синдрома делеции 22-й хромосомы у детей, 2015 г.</w:t>
        <w:br/>
        <w:br/>
      </w:r>
      <w:hyperlink r:id="rId47">
        <w:r>
          <w:rPr>
            <w:color w:val="173C49"/>
            <w:u w:val="single"/>
          </w:rPr>
          <w:t>ФЕДЕРАЛЬНЫЕ КЛИНИЧЕСКИЕ РЕКОМЕНДАЦИИ по диагностике и лечению синдрома делеции 22 й хромосомы у детей. Общественная организация Национальное общество детских гематологов, онкологов; ФГБУ «ФНКЦ ДГОИ им. Дмитрия Рогачева» Минздрава России, 2015г.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Проект клинических рекомендаций. Синдром делеции 22 хромосомы (синдром Ди Георга (Ди Джорджи)), 2018г., стр.10-11</w:t>
        <w:br/>
        <w:br/>
      </w:r>
      <w:hyperlink r:id="rId49">
        <w:r>
          <w:rPr>
            <w:color w:val="173C49"/>
            <w:u w:val="single"/>
          </w:rPr>
          <w:t>Клинические рекомендации Минздрава России. Синдром делеции 22 хромосомы (синдром Ди Георга (Ди Джорджи)), 2018 г.</w:t>
        </w:r>
      </w:hyperlink>
      <w:r>
        <w:rPr>
          <w:b w:val="0"/>
          <w:i/>
        </w:rPr>
        <w:t xml:space="preserve"> </w:t>
      </w:r>
      <w:hyperlink r:id="rId5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Комментарии: Популяционная частота: 1:10000</w:t>
        <w:br/>
        <w:br/>
        <w:t>Козлова С.И., Демикова Н.С. Наследственные синдромы и медико-генетическое консультирование: Атлас-справочник. 3-е изд., перераб. и дополн. М.:Т-во научных изданий КМК; Авторская академия.2007. 448 с., 236 ил. - с.54-55;</w:t>
        <w:br/>
        <w:br/>
      </w:r>
      <w:hyperlink r:id="rId51">
        <w:r>
          <w:rPr>
            <w:color w:val="173C49"/>
            <w:u w:val="single"/>
          </w:rPr>
          <w:t>https://omim.org/clinicalSynopsis/194050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https://omim.org/clinicalSynopsis/188400</w:t>
        </w:r>
      </w:hyperlink>
    </w:p>
    <w:p>
      <w:pPr>
        <w:pStyle w:val="Heading2"/>
      </w:pPr>
      <w:r>
        <w:t>3. Алгоритм молекулярно-генетического обследования (диагноза)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 подобных клинических ситуациях для исключения хромосомной патологии в первую очередь назначают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секвенирование экзома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стандартное цитогенетическое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многоцветный FISH-анализ (mFISH)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сравнительную геномную гибридизацию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стандартное цитогенетическое исследование</w:t>
      </w:r>
    </w:p>
    <w:p>
      <w:pPr>
        <w:ind w:left="504"/>
      </w:pPr>
      <w:r>
        <w:rPr>
          <w:b w:val="0"/>
          <w:i/>
        </w:rPr>
        <w:t>Комментарии: Клинические показания для постнатального исследования конститутивного кариотипа (периферическая кровь, фибробласты)</w:t>
        <w:br/>
        <w:br/>
        <w:t>У пациента:</w:t>
        <w:br/>
        <w:br/>
        <w:t>* Множественные врожденные пороки развития</w:t>
        <w:br/>
        <w:br/>
        <w:t>* Множественные микроаномалии развития</w:t>
        <w:br/>
        <w:br/>
        <w:t>* Низкий вес при рождении</w:t>
        <w:br/>
        <w:br/>
        <w:t>* Умственная отсталость, отставание в психомоторном развитии</w:t>
        <w:br/>
        <w:br/>
        <w:t>* Выраженные отклонения в росте (низкий рост, высокий рост) и размерах головы (микроцефалия, макроцефалия)</w:t>
        <w:br/>
        <w:br/>
        <w:t>* Отставание в физическом и половом развитии</w:t>
        <w:br/>
        <w:br/>
        <w:t>Кузнецова Т.В., Шилова Н.В., Творогова М.Г., Харченко Т.В., Лебедев И.Н., Антоненко В.Г. Практические рекомендации по обеспечению качества и надежности цитогенетических исследований. _Медицинская генетика _2019; 18(5): 3-27 (стр. 23).</w:t>
        <w:br/>
        <w:br/>
        <w:t>Комментарии: …основные показания для проведения цитогенетической диагностики………</w:t>
        <w:br/>
        <w:br/>
        <w:t>* Существование у ребёнка множественных врождённых пороков развития.</w:t>
        <w:br/>
        <w:br/>
        <w:t>* Задержка умственного и физического развития ребенка;</w:t>
        <w:br/>
        <w:br/>
        <w:t>* Подозрение на хромосомную болезнь на основании клинических симптомов.</w:t>
        <w:br/>
        <w:br/>
        <w:t>Наследственные болезни: национальное руководство / под ред. акад. РАМН Н.П. Бочкова, акад. РАМН Е.К. Гинтера, акад. РАМН В.П. Пузырева. - М. : ГЭОТАР-Медиа, 2012. - 936 с. (Глава 17. стр. 453). ISBN 978-5-9704-2231-1</w:t>
        <w:br/>
        <w:br/>
      </w:r>
      <w:hyperlink r:id="rId5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 основе данных объективного статуса и результатов проведённого обследования можно сделать вывод, что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моногенная этиология подтверждена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мультифакториальная этиология подтверждена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хромосомная этиология исключена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хромосомная этиология не исключена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хромосомная этиология не исключена</w:t>
      </w:r>
    </w:p>
    <w:p>
      <w:pPr>
        <w:ind w:left="504"/>
      </w:pPr>
      <w:r>
        <w:rPr>
          <w:b w:val="0"/>
          <w:i/>
        </w:rPr>
        <w:t>Комментарии: Стандартное цитогенетическое исследование обеспечивает эффективную диагностику числовых аномалий хромосом и ряда структурных аберраций. Однако метод не позволяет определять происхождение маркерных и сверхчисленных хромосом в кариотипе, идентифицировать сложные хромосомные транслокации, а также диагностировать микроделеционные и микродупликационные синдромы. Это обусловлено разрешающей возможностью световой микроскопии: стандартное цитогенетическое исследование позволяет идентифицировать 250-400 сегментов (бэндов) на гаплоидный геном. Соответственно 1 бэнд включает 5-10 млн.п.о., а микроделеционные и микродупликационные синдромы как правило обусловлены делецией/дупликацией размер которой менее 5 млн.п.о.</w:t>
        <w:br/>
        <w:br/>
        <w:t>Наследственные болезни: национальное руководство / под ред. акад. РАМН Н.П. Бочкова, акад. РАМН Е.К. Гинтера, акад. РАМН В.П. Пузырева. - М. : ГЭОТАР-Медиа, 2012. - 936 с. (Глава 17, стр. 458, 568). ISBN 978-5-9704-2231-1</w:t>
        <w:br/>
        <w:br/>
      </w:r>
      <w:hyperlink r:id="rId5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5. Алгоритм молекулярно-генетического обследования (диагноза)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На следующем этапе диагностического поиска наиболее целесообразно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многоцветное сегментирование хромосом (mBAND)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спектральное кариотипирование (SKY)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секвенирование экзома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хромосомный микроматричный анализ (array-CGH)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хромосомный микроматричный анализ (array-CGH)</w:t>
      </w:r>
    </w:p>
    <w:p>
      <w:pPr>
        <w:ind w:left="504"/>
      </w:pPr>
      <w:r>
        <w:rPr>
          <w:b w:val="0"/>
          <w:i/>
        </w:rPr>
        <w:t>Комментарии: Хромосомная этиология ряда дисморфических нарушений и пороков развития связана со скрытыми хромосомными перестройками, например, с субхромосомными делециями, которые обычно не обнаруживают при стандартном цитогенетическом исследовании. Все эти типы хромосомных аберраций можно диагностировать при использовании CGH, особенно на платформе микрочипов.</w:t>
        <w:br/>
        <w:br/>
        <w:t>Наследственные болезни: национальное руководство / под ред. акад. РАМН Н.П. Бочкова, акад. РАМН Е.К. Гинтера, акад. РАМН В.П. Пузырева. - М. : ГЭОТАР-Медиа, 2012. - 936 с. (Глава 17, стр. 474). ISBN 978-5-9704-2231-1</w:t>
        <w:br/>
        <w:br/>
      </w:r>
      <w:hyperlink r:id="rId5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Учитывая результаты проведённого обследования и характер нарушений, обнаруженных у ребёнка, наиболее ожидаемым результатом хромосомного микроматричного анализа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arr[hg19] 22q11.21q11.21(18894865-21808980)x1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arr[hg19] 22q11.21q11.21(18894865-21808980)x3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arr[hg19] 7q11.23q11.23(72744454-74142513)x1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несбалансированные хромосомные перестройки не обнаружены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arr[hg19] 22q11.21q11.21(18894865-21808980)x1</w:t>
      </w:r>
    </w:p>
    <w:p>
      <w:pPr>
        <w:ind w:left="504"/>
      </w:pPr>
      <w:r>
        <w:rPr>
          <w:b w:val="0"/>
          <w:i/>
        </w:rPr>
        <w:t>Комментарии: Наиболее частыми синдромами сопровождающимися врождёнными пороками сердца являются синдромы Дауна (1:500-700), синдром делеции 22q11.2 (1:4000) и синдром Вильямса (1:7500 – 10000). Сочетание врождённого порока сердца с характерными микроаномалиями и аномалиями развития иных органов и систем является показанием для исключения соответствующего синдрома молекулярно-цитогенетическими методами.</w:t>
        <w:br/>
        <w:br/>
        <w:t>Федеральные клинические рекомендации по диагностике и лечению синдрома Вильямса, 2017, Эпидемиология, стр. 3</w:t>
        <w:br/>
        <w:br/>
      </w:r>
      <w:hyperlink r:id="rId46">
        <w:r>
          <w:rPr>
            <w:color w:val="173C49"/>
            <w:u w:val="single"/>
          </w:rPr>
          <w:t>ФЕДЕРАЛЬНЫЕ КЛИНИЧЕСКИЕ РЕКОМЕНДАЦИИ ПО ДИАГНОСТИКЕ И ЛЕЧЕНИЮ СИНДРОМА ВИЛЬЯМСА. 2017 г.</w:t>
        </w:r>
      </w:hyperlink>
      <w:r>
        <w:rPr>
          <w:b w:val="0"/>
          <w:i/>
        </w:rPr>
        <w:br/>
        <w:br/>
        <w:t>Федеральные клинические рекомендации по диагностике и лечению синдрома делеции 22-й хромосомы у детей, 2015 г.</w:t>
        <w:br/>
        <w:br/>
      </w:r>
      <w:hyperlink r:id="rId47">
        <w:r>
          <w:rPr>
            <w:color w:val="173C49"/>
            <w:u w:val="single"/>
          </w:rPr>
          <w:t>ФЕДЕРАЛЬНЫЕ КЛИНИЧЕСКИЕ РЕКОМЕНДАЦИИ по диагностике и лечению синдрома делеции 22 й хромосомы у детей. Общественная организация Национальное общество детских гематологов, онкологов; ФГБУ «ФНКЦ ДГОИ им. Дмитрия Рогачева» Минздрава России, 2015г.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Проект клинических рекомендаций. Синдром делеции 22 хромосомы (синдром Ди Георга (Ди Джорджи)), 2018г., стр.10-11</w:t>
        <w:br/>
        <w:br/>
      </w:r>
      <w:hyperlink r:id="rId49">
        <w:r>
          <w:rPr>
            <w:color w:val="173C49"/>
            <w:u w:val="single"/>
          </w:rPr>
          <w:t>Клинические рекомендации Минздрава России. Синдром делеции 22 хромосомы (синдром Ди Георга (Ди Джорджи)), 2018 г.</w:t>
        </w:r>
      </w:hyperlink>
      <w:r>
        <w:rPr>
          <w:b w:val="0"/>
          <w:i/>
        </w:rPr>
        <w:br/>
        <w:br/>
        <w:t>Козлова С.И., Демикова Н.С. Наследственные синдромы и медико-генетическое консультирование: Атлас-справочник. 3-е изд., перераб. и дополн. М.:Т-во научных изданий КМК; Авторская академия.2007, 448 с., 236 ил. - с.54-55;</w:t>
        <w:br/>
        <w:br/>
      </w:r>
      <w:hyperlink r:id="rId51">
        <w:r>
          <w:rPr>
            <w:color w:val="173C49"/>
            <w:u w:val="single"/>
          </w:rPr>
          <w:t>https://omim.org/clinicalSynopsis/194050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https://omim.org/clinicalSynopsis/188400</w:t>
        </w:r>
      </w:hyperlink>
      <w:r>
        <w:rPr>
          <w:b w:val="0"/>
          <w:i/>
        </w:rPr>
        <w:br/>
        <w:br/>
        <w:t>Комментарии: У 85-90% процентов больных с синдромом делеции 22q11.2 выявляют делецию протяжённостью около 3Mb; у 8% - 1,5 Мб, у 2% - 2 Mb.</w:t>
        <w:br/>
        <w:br/>
        <w:t>Федеральные клинические рекомендации по диагностике и лечению синдрома делеции 22-й хромосомы у детей, 2015 г.</w:t>
        <w:br/>
        <w:br/>
      </w:r>
      <w:hyperlink r:id="rId47">
        <w:r>
          <w:rPr>
            <w:color w:val="173C49"/>
            <w:u w:val="single"/>
          </w:rPr>
          <w:t>ФЕДЕРАЛЬНЫЕ КЛИНИЧЕСКИЕ РЕКОМЕНДАЦИИ по диагностике и лечению синдрома делеции 22 й хромосомы у детей. Общественная организация Национальное общество детских гематологов, онкологов; ФГБУ «ФНКЦ ДГОИ им. Дмитрия Рогачева» Минздрава России, 2015г.</w:t>
        </w:r>
      </w:hyperlink>
      <w:r>
        <w:rPr>
          <w:b w:val="0"/>
          <w:i/>
        </w:rPr>
        <w:t xml:space="preserve"> </w:t>
      </w:r>
      <w:hyperlink r:id="rId54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55">
        <w:r>
          <w:rPr>
            <w:color w:val="173C49"/>
            <w:u w:val="single"/>
          </w:rPr>
          <w:t>https://omim.org/entry/188400</w:t>
        </w:r>
      </w:hyperlink>
      <w:r>
        <w:rPr>
          <w:b w:val="0"/>
          <w:i/>
        </w:rPr>
        <w:br/>
        <w:br/>
        <w:t>Emanuel, B.S. Molecular mechanisms and diagnosis of chromosome 22q11.2 rearrangements /B.S. Emanuel // Dev. Disabil. Res. Rev. – 2008. – Vol. 14(1). – P. 11-18</w:t>
        <w:br/>
        <w:br/>
        <w:t>Проект клинических рекомендаций. Синдром делеции 22 хромосомы (синдром Ди Георга (Ди Джорджи)), 2018г., стр.8</w:t>
        <w:br/>
        <w:br/>
      </w:r>
      <w:hyperlink r:id="rId49">
        <w:r>
          <w:rPr>
            <w:color w:val="173C49"/>
            <w:u w:val="single"/>
          </w:rPr>
          <w:t>Клинические рекомендации Минздрава России. Синдром делеции 22 хромосомы (синдром Ди Георга (Ди Джорджи)), 2018 г.</w:t>
        </w:r>
      </w:hyperlink>
      <w:r>
        <w:rPr>
          <w:b w:val="0"/>
          <w:i/>
        </w:rPr>
        <w:t xml:space="preserve"> </w:t>
      </w:r>
      <w:hyperlink r:id="rId5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Наследственные болезни: национальное руководство / под ред. акад. РАМН Н.П. Бочкова, акад. РАМН Е.К. Гинтера, акад. РАМН В.П. Пузырева. - М. : ГЭОТАР-Медиа, 2012. - 936 с. (Глава 17, рис. 22-35). ISBN 978-5-9704-2231-1</w:t>
        <w:br/>
        <w:br/>
      </w:r>
      <w:hyperlink r:id="rId5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результате хромосомного микроматричного анализа несбалансированные хромосомные нарушения не выявлены, что позволяет сделать вывод 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необходимости обследования методом полноэкзомного секвенирования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нецелесообразности продолжения дальнейшего обследования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необходимости подтверждения результатов хромосомного микроматричного анализа с локус-специфическими ДНК-зондами на регионы 22q11.2, 7q11.23, 10p13-p14, 11q23-ter, 11p13, 4q21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необходимости исследования последовательности гена _TBX_ _1_ методом прямого секвенирования по Сенгеру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необходимости исследования последовательности гена _TBX_ _1_ методом прямого секвенирования по Сенгеру</w:t>
      </w:r>
    </w:p>
    <w:p>
      <w:pPr>
        <w:ind w:left="504"/>
      </w:pPr>
      <w:r>
        <w:rPr>
          <w:b w:val="0"/>
          <w:i/>
        </w:rPr>
        <w:t>Комментарии:</w:t>
        <w:br/>
        <w:br/>
        <w:t>Ген _TBX_ _1_ (а именно его гаплонедостаточность) играет основную роль в формировании фенотипа пациентов с синдромом делеции 21q11.2.</w:t>
        <w:br/>
        <w:br/>
        <w:t>Пациентам с отрицательным результатом при использовании методов FISH-гибридизации, хромосомного микроматричного анализа (ХМА) или сравнительной геномной гибридизации (aCGH) с целью верификации генетического дефекта показано исследование последовательности гена _TBX_ _1_ методом прямого секвенирования по Сенгеру.</w:t>
        <w:br/>
        <w:br/>
        <w:t>Ген включает 13 эконов, что позволяет его исследовать как методом прямого секвенирования по Сенгеру c целью поиска точковых мутаций, так и методом MLPA с целью поиска делеций и дупликаций в этом гене.</w:t>
        <w:br/>
        <w:br/>
        <w:t>Федеральные клинические рекомендации по диагностике и лечению синдрома делеции 22-й хромосомы у детей, 2015 г.</w:t>
        <w:br/>
        <w:br/>
      </w:r>
      <w:hyperlink r:id="rId47">
        <w:r>
          <w:rPr>
            <w:color w:val="173C49"/>
            <w:u w:val="single"/>
          </w:rPr>
          <w:t>ФЕДЕРАЛЬНЫЕ КЛИНИЧЕСКИЕ РЕКОМЕНДАЦИИ по диагностике и лечению синдрома делеции 22 й хромосомы у детей. Общественная организация Национальное общество детских гематологов, онкологов; ФГБУ «ФНКЦ ДГОИ им. Дмитрия Рогачева» Минздрава России, 2015г.</w:t>
        </w:r>
      </w:hyperlink>
      <w:r>
        <w:rPr>
          <w:b w:val="0"/>
          <w:i/>
        </w:rPr>
        <w:t xml:space="preserve"> </w:t>
      </w:r>
      <w:hyperlink r:id="rId5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Проект клинических рекомендаций. Синдром делеции 22 хромосомы (синдром Ди Георга (Ди Джорджи)), 2018г., стр.16</w:t>
        <w:br/>
        <w:br/>
      </w:r>
      <w:hyperlink r:id="rId49">
        <w:r>
          <w:rPr>
            <w:color w:val="173C49"/>
            <w:u w:val="single"/>
          </w:rPr>
          <w:t>Клинические рекомендации Минздрава России. Синдром делеции 22 хромосомы (синдром Ди Георга (Ди Джорджи)), 2018 г.</w:t>
        </w:r>
      </w:hyperlink>
      <w:r>
        <w:rPr>
          <w:b w:val="0"/>
          <w:i/>
        </w:rPr>
        <w:t xml:space="preserve"> </w:t>
      </w:r>
      <w:hyperlink r:id="rId5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55">
        <w:r>
          <w:rPr>
            <w:color w:val="173C49"/>
            <w:u w:val="single"/>
          </w:rPr>
          <w:t>https://omim.org/entry/188400</w:t>
        </w:r>
      </w:hyperlink>
    </w:p>
    <w:p>
      <w:pPr>
        <w:pStyle w:val="Heading2"/>
      </w:pPr>
      <w:r>
        <w:t>6. Диагноз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результате секвенирования гена _TBX_ _1_  у ребёнка обнаружена ранее описанная патогенная мутация c.1223delС(p.Ser408fs), что позволяет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исключить диагноз синдром делеции 22q11.2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поставить диагноз синдром дупликации 22q11.2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поставить диагноз синдром делеции 22q11.2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поставить диагноз синдром делеции 7q11.23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поставить диагноз синдром делеции 22q11.2</w:t>
      </w:r>
    </w:p>
    <w:p>
      <w:pPr>
        <w:ind w:left="504"/>
      </w:pPr>
      <w:r>
        <w:rPr>
          <w:b w:val="0"/>
          <w:i/>
        </w:rPr>
        <w:t>Комментарии:</w:t>
        <w:br/>
        <w:br/>
        <w:t>Ген _TBX_ _1_(а именно его гаплонедостаточность) играет основную роль в формировании фенотипа пациентов с синдромом делеции 21q11.2.</w:t>
        <w:br/>
        <w:br/>
        <w:t>Пациентам с отрицательным результатом при использовании методов FISH-гибридизации, хромосомного микроматричного анализа (ХМА) или сравнительной геномной гибридизации (aCGH) с целью верификации генетического дефекта показано исследование последовательности гена _TBX_ _1_ методом прямого секвенирования по Сенгеру.</w:t>
        <w:br/>
        <w:br/>
        <w:t>Ген включает 13 эконов, что позволяет его исследовать как методом прямого секвенирования по Сенгеру c целью поиска точковых мутаций, так и методом MLPA с целью поиска делеций и дупликаций в этом гене.</w:t>
        <w:br/>
        <w:br/>
        <w:t>Федеральные клинические рекомендации по диагностике и лечению синдрома делеции 22-й хромосомы у детей, 2015 г.</w:t>
        <w:br/>
        <w:br/>
      </w:r>
      <w:hyperlink r:id="rId47">
        <w:r>
          <w:rPr>
            <w:color w:val="173C49"/>
            <w:u w:val="single"/>
          </w:rPr>
          <w:t>ФЕДЕРАЛЬНЫЕ КЛИНИЧЕСКИЕ РЕКОМЕНДАЦИИ по диагностике и лечению синдрома делеции 22 й хромосомы у детей. Общественная организация Национальное общество детских гематологов, онкологов; ФГБУ «ФНКЦ ДГОИ им. Дмитрия Рогачева» Минздрава России, 2015г.</w:t>
        </w:r>
      </w:hyperlink>
      <w:r>
        <w:rPr>
          <w:b w:val="0"/>
          <w:i/>
        </w:rPr>
        <w:t xml:space="preserve"> </w:t>
      </w:r>
      <w:hyperlink r:id="rId5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Проект клинических рекомендаций. Синдром делеции 22 хромосомы (синдром Ди Георга (Ди Джорджи)), 2018г., стр.16</w:t>
        <w:br/>
        <w:br/>
      </w:r>
      <w:hyperlink r:id="rId49">
        <w:r>
          <w:rPr>
            <w:color w:val="173C49"/>
            <w:u w:val="single"/>
          </w:rPr>
          <w:t>Клинические рекомендации Минздрава России. Синдром делеции 22 хромосомы (синдром Ди Георга (Ди Джорджи)), 2018 г.</w:t>
        </w:r>
      </w:hyperlink>
      <w:r>
        <w:rPr>
          <w:b w:val="0"/>
          <w:i/>
        </w:rPr>
        <w:t xml:space="preserve"> </w:t>
      </w:r>
      <w:hyperlink r:id="rId5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59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55">
        <w:r>
          <w:rPr>
            <w:color w:val="173C49"/>
            <w:u w:val="single"/>
          </w:rPr>
          <w:t>https://omim.org/entry/188400</w:t>
        </w:r>
      </w:hyperlink>
    </w:p>
    <w:p>
      <w:pPr>
        <w:pStyle w:val="Heading2"/>
      </w:pPr>
      <w:r>
        <w:t>7. Профилактика (медико-генетическое консультирование)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оценки риска рождения больного ребёнка с синдромом делеции 22q11.2 в данной семье проводить обследование обоих родителей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показано только при возникновении повторного случая рождения ребёнка с синдромом делеции 22q11.2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необходимо методом Сенгера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нецелесообразно, так как случай спорадический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показано только при наличии фенотипических признаков синдрома делеции 22q11.2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необходимо методом Сенгера</w:t>
      </w:r>
    </w:p>
    <w:p>
      <w:pPr>
        <w:ind w:left="504"/>
      </w:pPr>
      <w:r>
        <w:rPr>
          <w:b w:val="0"/>
          <w:i/>
        </w:rPr>
        <w:t>Комментарии: Учитывая, что проявления синдрома микроделеции 22q11.2 обусловлено гаплонедостаточностью гена _TBX_ _1_, аутосомно-доминантное наследование состояний, обусловленных мутациями в этом гене, и значительный внутрисемейный клинический полиморфизм этого синдрома, с целью подтверждения патогенности мутации и установления её происхождения для последующей оценки генетического риска в семье рекомендуется обследование обоих родителей ребёнка с синдромом делеции 22q11.2.</w:t>
        <w:br/>
        <w:br/>
        <w:t>Проект клинических рекомендаций. Синдром делеции 22 хромосомы (синдром Ди Георга (Ди Джорджи)), 2018г., стр.8</w:t>
        <w:br/>
        <w:br/>
      </w:r>
      <w:hyperlink r:id="rId49">
        <w:r>
          <w:rPr>
            <w:color w:val="173C49"/>
            <w:u w:val="single"/>
          </w:rPr>
          <w:t>Клинические рекомендации Минздрава России. Синдром делеции 22 хромосомы (синдром Ди Георга (Ди Джорджи)), 2018 г.</w:t>
        </w:r>
      </w:hyperlink>
      <w:r>
        <w:rPr>
          <w:b w:val="0"/>
          <w:i/>
        </w:rPr>
        <w:t xml:space="preserve"> </w:t>
      </w:r>
      <w:hyperlink r:id="rId5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Статья: Антоненко В.Г., Котлукова Н.П., Козлова Ю.О., Золотухина Т.В.. Рекомендации по выявлению и ведению пациентов с синдромом делеции 22q11.2. Педиатрия. 2015; 94 4.-С. 63-68.</w:t>
        <w:br/>
        <w:br/>
      </w:r>
      <w:hyperlink r:id="rId60">
        <w:r>
          <w:rPr>
            <w:color w:val="173C49"/>
            <w:u w:val="single"/>
          </w:rPr>
          <w:t>https://pediatriajournal.ru/files/upload/mags/347/2015_4_4356.pdf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В результате обследования родителей методом Сенгера у матери ребёнка обнаружена мутация в гене _TBX_ _1_ c.1223delС(p.Ser408fs), что позволяет оценить риск повторного случая рождения ребёнка с синдромом делеции 22q11.2 равным _____ процентов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50</w:t>
      </w:r>
    </w:p>
    <w:p>
      <w:pPr>
        <w:ind w:left="504"/>
      </w:pPr>
      <w:r>
        <w:rPr>
          <w:b w:val="0"/>
          <w:i/>
        </w:rPr>
        <w:t>Комментарии: Учитывая, что проявления синдрома микроделеции 22q11.2 обусловлено гаплонедостаточностью гена _TBX_ _1,_ и аутосомно-доминантное наследование состояний, обусловленных мутациями в этом гене, риск рождения больного ребёнка с синдромом делеции 22q11.2 составляет 50%.</w:t>
        <w:br/>
        <w:br/>
        <w:t>Антоненко В.Г., Котлукова Н.П., Козлова Ю.О., Золотухина Т.В.. Рекомендации по выявлению и ведению пациентов с синдромом делеции 22q11.2. Педиатрия. 2015; 94 4.-С. 63-68.</w:t>
        <w:br/>
        <w:br/>
      </w:r>
      <w:hyperlink r:id="rId55">
        <w:r>
          <w:rPr>
            <w:color w:val="173C49"/>
            <w:u w:val="single"/>
          </w:rPr>
          <w:t>https://omim.org/entry/188400</w:t>
        </w:r>
      </w:hyperlink>
      <w:r>
        <w:rPr>
          <w:b w:val="0"/>
          <w:i/>
        </w:rPr>
        <w:br/>
        <w:br/>
        <w:t>Федеральные клинические рекомендации по диагностике и лечению синдрома делеции 22-й хромосомы у детей, 2015 г.</w:t>
        <w:br/>
        <w:br/>
      </w:r>
      <w:hyperlink r:id="rId47">
        <w:r>
          <w:rPr>
            <w:color w:val="173C49"/>
            <w:u w:val="single"/>
          </w:rPr>
          <w:t>ФЕДЕРАЛЬНЫЕ КЛИНИЧЕСКИЕ РЕКОМЕНДАЦИИ по диагностике и лечению синдрома делеции 22 й хромосомы у детей. Общественная организация Национальное общество детских гематологов, онкологов; ФГБУ «ФНКЦ ДГОИ им. Дмитрия Рогачева» Минздрава России, 2015г.</w:t>
        </w:r>
      </w:hyperlink>
      <w:r>
        <w:rPr>
          <w:b w:val="0"/>
          <w:i/>
        </w:rPr>
        <w:t xml:space="preserve"> </w:t>
      </w:r>
      <w:hyperlink r:id="rId6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Проект клинических рекомендаций. Синдром делеции 22 хромосомы (синдром Ди Георга (Ди Джорджи)), 2018г., стр.22</w:t>
        <w:br/>
        <w:br/>
      </w:r>
      <w:hyperlink r:id="rId49">
        <w:r>
          <w:rPr>
            <w:color w:val="173C49"/>
            <w:u w:val="single"/>
          </w:rPr>
          <w:t>Клинические рекомендации Минздрава России. Синдром делеции 22 хромосомы (синдром Ди Георга (Ди Джорджи)), 2018 г.</w:t>
        </w:r>
      </w:hyperlink>
      <w:r>
        <w:rPr>
          <w:b w:val="0"/>
          <w:i/>
        </w:rPr>
        <w:t xml:space="preserve"> </w:t>
      </w:r>
      <w:hyperlink r:id="rId6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Комментарий: При аутосомно-доминантном типе наследования болезнь развивается при наличии мутаций в гетеро- и гомозиготном состоянии. В соответствии с этим у поражённого родителя-гетерозиготы риск рождения больного ребёнка составляет 50%, …...</w:t>
        <w:br/>
        <w:br/>
        <w:t>Генетика. Учебник для вузов/Под ред. академ. РАМН В.И. Иванова. - М.: ИКЦ «Академкнига», 2006,2007 - 639 с.:ил.; стр. 442, 585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качестве профилактики риска повторного рождения больного ребенка в обследованной семье при наступлении беременности можно рекомендовать преимплантационное генетическое тестирование на наличие мутации в гене _TBX_ _1_ и хромосомные аномалии или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неинвазивное пренатальное тестирование плода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вспомогательные репродуктивные технологии (экстракорпоральное оплодотворение со сперматозоидами донора)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биохимический и ультразвуковой скрининг в первом триместре и, только в случае обнаружения маркёров хромосомной патологии плода, инвазивную пренатальную диагностику на наличие мутации в гене _TBX_ _1_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и ультразвуковой скрининг в первом триместре и инвазивную пренатальную диагностику на наличие мутации в гене _TBX_ _1_ и частые хромосомные аномалии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биохимический и ультразвуковой скрининг в первом триместре и инвазивную пренатальную диагностику на наличие мутации в гене _TBX_ _1_ и частые хромосомные аномалии</w:t>
      </w:r>
    </w:p>
    <w:p>
      <w:pPr>
        <w:ind w:left="504"/>
      </w:pPr>
      <w:r>
        <w:rPr>
          <w:b w:val="0"/>
          <w:i/>
        </w:rPr>
        <w:t>Комментарии: Обнаружение у матери ребёнка мутация в гене _TBX_ _1_, аналогичной обнаруженной мутации у ребёнка, и риск рождения ребёнка с синдромом делеции 22q11.2 50% (высокий) являются показанием к проведению инвазивной пренатальной диагностики.</w:t>
        <w:br/>
        <w:br/>
        <w:t>Комментарии:</w:t>
        <w:br/>
        <w:br/>
        <w:t>Пренатальная (дородовая) диагностика является по сути частью третьего этапа медико-генетического консультирования и не является обязательной; представляет собой один из основных подходов, позволяющих выявить генотипы, определяющие высокий риск развития заболевания у будущего ребёнка, и включает комплекс мероприятий, направленных на предотвращение появления больного ребёнка в семье.</w:t>
        <w:br/>
        <w:br/>
        <w:t>Генетика. Учебник для вузов/Под ред. академ. РАМН В.И. Иванова. - М.: ИКЦ «Академкнига», 2006,2007 - 639 с.:ил., стр. 573 – 574</w:t>
        <w:br/>
        <w:br/>
        <w:t>Комментарии:</w:t>
        <w:br/>
        <w:br/>
        <w:t>Преимплантационная диагностика является вторым подходом, позволяющим выявить генотипы, определяющие высокий риск развития заболевания у будущего ребёнка.</w:t>
        <w:br/>
        <w:br/>
        <w:t>Преимуществом является отсутствие необходимости искусственного прерывания беременности при обнаружении наследственной патологии у эмбриона.</w:t>
        <w:br/>
        <w:br/>
        <w:t>Генетика. Учебник для вузов/Под ред. академ. РАМН В.И. Иванова. - М.: ИКЦ «Академкнига», 2006,2007 - 639 с.:ил., стр. 573 – 577</w:t>
        <w:br/>
        <w:br/>
        <w:t>Комментарии: Биохимический и ультразвуковой скрининг в I триместре (пренатальный скрининг беременных I триместра), ультразвуковой скрининг во II триместре - являются обязательными для каждой женщины при наступлении беременности.</w:t>
        <w:br/>
        <w:br/>
      </w:r>
      <w:hyperlink r:id="rId63">
        <w:r>
          <w:rPr>
            <w:color w:val="173C49"/>
            <w:u w:val="single"/>
          </w:rPr>
          <w:t>ПРИКАЗ от 20 октября 2020 года N 1130н Об утверждении Порядка оказания медицинской помощи по профилю "акушерство и гинекология"</w:t>
        </w:r>
      </w:hyperlink>
    </w:p>
    <w:p>
      <w:pPr>
        <w:pStyle w:val="Heading2"/>
      </w:pPr>
      <w:r>
        <w:t>8.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Тяжелый врожденный иммунодефицит, требующий специального лечения, встречается менее чем у +___+ процента/процентов больных с синдромом делеции 22q11.2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</w:t>
      </w:r>
    </w:p>
    <w:p>
      <w:pPr>
        <w:ind w:left="504"/>
      </w:pPr>
      <w:r>
        <w:rPr>
          <w:b w:val="0"/>
          <w:i/>
        </w:rPr>
        <w:t>Комментарии: Лицевые аномалии в той или иной степени выраженности выявляются практически у всех пациентов, функциональная небная недостаточность, обусловливающая носовой оттенок голоса – у более чем 90% пациентов (по некоторым другим авторам более 70%), тогда как ВПС встречаются у 75-80% процентов пациентов, а остальные нарушения с частотой в диапазоне 1 - 30 - 40% (тяжёлый иммнодефицит – 1% случаев, гипертиреоидизм не более 5%, гипокальциемия как правило наблюдается в неонатальном периоде).</w:t>
        <w:br/>
        <w:br/>
        <w:t>Антоненко В.Г., Котлукова Н.П., Козлова Ю.О., Золотухина Т.В.. Рекомендации по выявлению и ведению пациентов с синдромом делеции 22q11.2. Педиатрия. 2015; 94 4.-С. 63-68 (стр.64).</w:t>
        <w:br/>
        <w:br/>
        <w:t>Monteiro F.P. et al. Defining new guidelines for screening the 22q11.2 deletion based on a clinical and dysmorphologic evaluation of 194 individuals and review of the literature. Eur. J. Pediatr. 2013; 172 (7): 927–945.</w:t>
        <w:br/>
        <w:br/>
      </w:r>
      <w:hyperlink r:id="rId55">
        <w:r>
          <w:rPr>
            <w:color w:val="173C49"/>
            <w:u w:val="single"/>
          </w:rPr>
          <w:t>https://omim.org/entry/188400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Генетика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cr_49" TargetMode="External"/><Relationship Id="rId21" Type="http://schemas.openxmlformats.org/officeDocument/2006/relationships/hyperlink" Target="https://library.mededtech.ru/rest/documents/cr_49/#paragraph_1fk21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cr_49/#list_item_ef1n0" TargetMode="External"/><Relationship Id="rId24" Type="http://schemas.openxmlformats.org/officeDocument/2006/relationships/hyperlink" Target="https://library.mededtech.ru/rest/documents/cr_49/#list_item_jeth4" TargetMode="External"/><Relationship Id="rId25" Type="http://schemas.openxmlformats.org/officeDocument/2006/relationships/hyperlink" Target="https://omim.org/entry/606953" TargetMode="External"/><Relationship Id="rId26" Type="http://schemas.openxmlformats.org/officeDocument/2006/relationships/hyperlink" Target="https://omim.org/entry/612349" TargetMode="External"/><Relationship Id="rId27" Type="http://schemas.openxmlformats.org/officeDocument/2006/relationships/image" Target="media/image6.png"/><Relationship Id="rId28" Type="http://schemas.openxmlformats.org/officeDocument/2006/relationships/hyperlink" Target="https://omim.org/entry/252800" TargetMode="External"/><Relationship Id="rId29" Type="http://schemas.openxmlformats.org/officeDocument/2006/relationships/hyperlink" Target="https://omim.org/entry/604313" TargetMode="External"/><Relationship Id="rId30" Type="http://schemas.openxmlformats.org/officeDocument/2006/relationships/hyperlink" Target="https://library.mededtech.ru/rest/documents/cr_49/#list_item_527mr" TargetMode="External"/><Relationship Id="rId31" Type="http://schemas.openxmlformats.org/officeDocument/2006/relationships/image" Target="media/image7.png"/><Relationship Id="rId32" Type="http://schemas.openxmlformats.org/officeDocument/2006/relationships/hyperlink" Target="https://library.mededtech.ru/rest/documents/cr_49/#paragraph_83roc" TargetMode="External"/><Relationship Id="rId33" Type="http://schemas.openxmlformats.org/officeDocument/2006/relationships/hyperlink" Target="https://omim.org/entry/607014" TargetMode="External"/><Relationship Id="rId34" Type="http://schemas.openxmlformats.org/officeDocument/2006/relationships/hyperlink" Target="https://library.mededtech.ru/rest/documents/cr_49/#paragraph_vanug" TargetMode="External"/><Relationship Id="rId35" Type="http://schemas.openxmlformats.org/officeDocument/2006/relationships/hyperlink" Target="https://library.mededtech.ru/rest/documents/cr_49/#paragraph_b422p" TargetMode="External"/><Relationship Id="rId36" Type="http://schemas.openxmlformats.org/officeDocument/2006/relationships/image" Target="media/image8.png"/><Relationship Id="rId37" Type="http://schemas.openxmlformats.org/officeDocument/2006/relationships/hyperlink" Target="https://library.mededtech.ru/rest/documents/cr_49/#list_item_7d9da" TargetMode="External"/><Relationship Id="rId38" Type="http://schemas.openxmlformats.org/officeDocument/2006/relationships/hyperlink" Target="https://library.mededtech.ru/rest/documents/cr_49/#list_item_ak297" TargetMode="External"/><Relationship Id="rId39" Type="http://schemas.openxmlformats.org/officeDocument/2006/relationships/hyperlink" Target="https://library.mededtech.ru/rest/documents/cr_49/#paragraph_2pr15" TargetMode="External"/><Relationship Id="rId40" Type="http://schemas.openxmlformats.org/officeDocument/2006/relationships/hyperlink" Target="https://library.mededtech.ru/rest/documents/cr_49/#paragraph_569c8" TargetMode="External"/><Relationship Id="rId41" Type="http://schemas.openxmlformats.org/officeDocument/2006/relationships/hyperlink" Target="https://library.mededtech.ru/rest/documents/cr_49/#paragraph_1qnbe" TargetMode="External"/><Relationship Id="rId42" Type="http://schemas.openxmlformats.org/officeDocument/2006/relationships/hyperlink" Target="https://library.mededtech.ru/rest/documents/D01514/?anchor=paragraph_efltd#paragraph_efltd" TargetMode="External"/><Relationship Id="rId43" Type="http://schemas.openxmlformats.org/officeDocument/2006/relationships/hyperlink" Target="https://library.mededtech.ru/rest/documents/D01514/?anchor=paragraph_l7idd#paragraph_l7idd" TargetMode="External"/><Relationship Id="rId44" Type="http://schemas.openxmlformats.org/officeDocument/2006/relationships/image" Target="media/image9.png"/><Relationship Id="rId45" Type="http://schemas.openxmlformats.org/officeDocument/2006/relationships/hyperlink" Target="https://library.mededtech.ru/rest/documents/ISBN9785970422311/?anchor=&#1043;&#1083;&#1072;&#1074;&#1072;_22_&#1061;&#1088;&#1086;&#1084;&#1086;&#1089;&#1086;&#1084;&#1085;&#1099;&#1077;_&#1073;&#1086;&#1083;&#1077;&#1079;&#1085;&#1080;#&#1043;&#1083;&#1072;&#1074;&#1072;_22_&#1061;&#1088;&#1086;&#1084;&#1086;&#1089;&#1086;&#1084;&#1085;&#1099;&#1077;_&#1073;&#1086;&#1083;&#1077;&#1079;&#1085;&#1080;" TargetMode="External"/><Relationship Id="rId46" Type="http://schemas.openxmlformats.org/officeDocument/2006/relationships/hyperlink" Target="https://library.mededtech.ru/rest/documents/vilyamsa/" TargetMode="External"/><Relationship Id="rId47" Type="http://schemas.openxmlformats.org/officeDocument/2006/relationships/hyperlink" Target="https://library.mededtech.ru/rest/documents/14%20Deletsija%2022_14/" TargetMode="External"/><Relationship Id="rId48" Type="http://schemas.openxmlformats.org/officeDocument/2006/relationships/hyperlink" Target="https://library.mededtech.ru/rest/documents/14%20Deletsija%2022_14/#paragraph_342ue5" TargetMode="External"/><Relationship Id="rId49" Type="http://schemas.openxmlformats.org/officeDocument/2006/relationships/hyperlink" Target="https://library.mededtech.ru/rest/documents/sindrom/" TargetMode="External"/><Relationship Id="rId50" Type="http://schemas.openxmlformats.org/officeDocument/2006/relationships/hyperlink" Target="https://library.mededtech.ru/rest/documents/sindrom/#list_item_vc2e7g" TargetMode="External"/><Relationship Id="rId51" Type="http://schemas.openxmlformats.org/officeDocument/2006/relationships/hyperlink" Target="https://omim.org/clinicalSynopsis/194050" TargetMode="External"/><Relationship Id="rId52" Type="http://schemas.openxmlformats.org/officeDocument/2006/relationships/hyperlink" Target="https://omim.org/clinicalSynopsis/188400" TargetMode="External"/><Relationship Id="rId53" Type="http://schemas.openxmlformats.org/officeDocument/2006/relationships/hyperlink" Target="https://library.mededtech.ru/rest/documents/ISBN9785970422311/?anchor=&#1043;&#1083;&#1072;&#1074;&#1072;_17_&#1052;&#1077;&#1090;&#1086;&#1076;&#1099;_&#1094;&#1080;&#1090;&#1086;&#1075;&#1077;&#1085;&#1077;&#1090;&#1080;&#1095;&#1077;&#1089;&#1082;&#1086;&#1081;_&#1076;&#1080;&#1072;&#1075;&#1085;&#1086;&#1089;&#1090;&#1080;&#1082;&#1080;_&#1093;&#1088;&#1086;&#1084;&#1086;&#1089;&#1086;&#1084;&#1085;&#1099;&#1093;_&#1073;&#1086;&#1083;&#1077;&#1079;&#1085;&#1077;&#1081;#&#1043;&#1083;&#1072;&#1074;&#1072;_17_&#1052;&#1077;&#1090;&#1086;&#1076;&#1099;_&#1094;&#1080;&#1090;&#1086;&#1075;&#1077;&#1085;&#1077;&#1090;&#1080;&#1095;&#1077;&#1089;&#1082;&#1086;&#1081;_&#1076;&#1080;&#1072;&#1075;&#1085;&#1086;&#1089;&#1090;&#1080;&#1082;&#1080;_&#1093;&#1088;&#1086;&#1084;&#1086;&#1089;&#1086;&#1084;&#1085;&#1099;&#1093;_&#1073;&#1086;&#1083;&#1077;&#1079;&#1085;&#1077;&#1081;" TargetMode="External"/><Relationship Id="rId54" Type="http://schemas.openxmlformats.org/officeDocument/2006/relationships/hyperlink" Target="https://library.mededtech.ru/rest/documents/14%20Deletsija%2022_14/#paragraph_vqb36a" TargetMode="External"/><Relationship Id="rId55" Type="http://schemas.openxmlformats.org/officeDocument/2006/relationships/hyperlink" Target="https://omim.org/entry/188400" TargetMode="External"/><Relationship Id="rId56" Type="http://schemas.openxmlformats.org/officeDocument/2006/relationships/hyperlink" Target="https://library.mededtech.ru/rest/documents/sindrom/#paragraph_d51qcc" TargetMode="External"/><Relationship Id="rId57" Type="http://schemas.openxmlformats.org/officeDocument/2006/relationships/hyperlink" Target="https://library.mededtech.ru/rest/documents/14%20Deletsija%2022_14/#paragraph_cr9619" TargetMode="External"/><Relationship Id="rId58" Type="http://schemas.openxmlformats.org/officeDocument/2006/relationships/hyperlink" Target="https://library.mededtech.ru/rest/documents/sindrom/#list_item_sqi270" TargetMode="External"/><Relationship Id="rId59" Type="http://schemas.openxmlformats.org/officeDocument/2006/relationships/hyperlink" Target="https://library.mededtech.ru/rest/documents/sindrom/#paragraph_36v7nj" TargetMode="External"/><Relationship Id="rId60" Type="http://schemas.openxmlformats.org/officeDocument/2006/relationships/hyperlink" Target="https://pediatriajournal.ru/files/upload/mags/347/2015_4_4356.pdf" TargetMode="External"/><Relationship Id="rId61" Type="http://schemas.openxmlformats.org/officeDocument/2006/relationships/hyperlink" Target="https://library.mededtech.ru/rest/documents/14%20Deletsija%2022_14/#paragraph_5ji1im" TargetMode="External"/><Relationship Id="rId62" Type="http://schemas.openxmlformats.org/officeDocument/2006/relationships/hyperlink" Target="https://library.mededtech.ru/rest/documents/sindrom/#paragraph_demolo" TargetMode="External"/><Relationship Id="rId63" Type="http://schemas.openxmlformats.org/officeDocument/2006/relationships/hyperlink" Target="https://library.mededtech.ru/rest/documents/prikazN113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